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127D" w:rsidRDefault="002C730B">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rsidR="0089127D" w:rsidRDefault="002C730B">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89127D" w:rsidRDefault="002C730B">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2"/>
        <w:tblW w:w="7560"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2"/>
        <w:gridCol w:w="5098"/>
      </w:tblGrid>
      <w:tr w:rsidR="0089127D">
        <w:tc>
          <w:tcPr>
            <w:tcW w:w="2462" w:type="dxa"/>
          </w:tcPr>
          <w:p w:rsidR="0089127D" w:rsidRDefault="002C730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89127D" w:rsidRDefault="002C730B">
            <w:p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89127D">
        <w:tc>
          <w:tcPr>
            <w:tcW w:w="2462" w:type="dxa"/>
          </w:tcPr>
          <w:p w:rsidR="0089127D" w:rsidRDefault="002C730B">
            <w:pPr>
              <w:pBdr>
                <w:top w:val="nil"/>
                <w:left w:val="nil"/>
                <w:bottom w:val="nil"/>
                <w:right w:val="nil"/>
                <w:between w:val="nil"/>
              </w:pBdr>
              <w:spacing w:after="120"/>
              <w:ind w:left="-108"/>
              <w:jc w:val="left"/>
              <w:rPr>
                <w:rFonts w:ascii="Arial" w:eastAsia="Arial" w:hAnsi="Arial"/>
                <w:b/>
                <w:color w:val="000000"/>
                <w:sz w:val="24"/>
                <w:szCs w:val="24"/>
              </w:rPr>
            </w:pPr>
            <w:bookmarkStart w:id="0" w:name="_heading=h.gjdgxs" w:colFirst="0" w:colLast="0"/>
            <w:bookmarkEnd w:id="0"/>
            <w:r>
              <w:rPr>
                <w:rFonts w:ascii="Arial" w:eastAsia="Arial" w:hAnsi="Arial"/>
                <w:b/>
                <w:color w:val="000000"/>
                <w:sz w:val="24"/>
                <w:szCs w:val="24"/>
              </w:rPr>
              <w:t>"Financial Distress Event"</w:t>
            </w:r>
          </w:p>
        </w:tc>
        <w:tc>
          <w:tcPr>
            <w:tcW w:w="5098" w:type="dxa"/>
          </w:tcPr>
          <w:p w:rsidR="0089127D" w:rsidRDefault="002C730B">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89127D" w:rsidRDefault="002C730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89127D" w:rsidRDefault="002C730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89127D" w:rsidRDefault="002C730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89127D" w:rsidRDefault="002C730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89127D" w:rsidRDefault="002C730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89127D" w:rsidRDefault="002C730B">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89127D" w:rsidRDefault="002C730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commencement of any litigation against the Monitored Company with respect to financial indebtedness or obligations under a contract; </w:t>
            </w:r>
          </w:p>
          <w:p w:rsidR="0089127D" w:rsidRDefault="002C730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89127D" w:rsidRDefault="002C730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w:t>
            </w:r>
            <w:r>
              <w:rPr>
                <w:rFonts w:ascii="Arial" w:eastAsia="Arial" w:hAnsi="Arial"/>
                <w:color w:val="000000"/>
                <w:sz w:val="24"/>
                <w:szCs w:val="24"/>
              </w:rPr>
              <w:t>coming due as a result of an event of default; or</w:t>
            </w:r>
          </w:p>
          <w:p w:rsidR="0089127D" w:rsidRDefault="002C730B">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cancellation or suspension of any financial indebtedness in respect of the Monitored Company</w:t>
            </w:r>
          </w:p>
          <w:p w:rsidR="0089127D" w:rsidRDefault="002C730B">
            <w:pPr>
              <w:pBdr>
                <w:top w:val="nil"/>
                <w:left w:val="nil"/>
                <w:bottom w:val="nil"/>
                <w:right w:val="nil"/>
                <w:between w:val="nil"/>
              </w:pBdr>
              <w:tabs>
                <w:tab w:val="left" w:pos="175"/>
              </w:tabs>
              <w:spacing w:after="120"/>
              <w:ind w:left="17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w:t>
            </w:r>
            <w:r>
              <w:rPr>
                <w:rFonts w:ascii="Arial" w:eastAsia="Arial" w:hAnsi="Arial"/>
                <w:color w:val="000000"/>
                <w:sz w:val="24"/>
                <w:szCs w:val="24"/>
              </w:rPr>
              <w:t>n the continued performance of any Contract and delivery of the Deliverables in accordance with any Call-Off Contract;</w:t>
            </w:r>
          </w:p>
        </w:tc>
      </w:tr>
      <w:tr w:rsidR="0089127D">
        <w:tc>
          <w:tcPr>
            <w:tcW w:w="2462" w:type="dxa"/>
          </w:tcPr>
          <w:p w:rsidR="0089127D" w:rsidRDefault="002C730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 Continuity Plan"</w:t>
            </w:r>
          </w:p>
        </w:tc>
        <w:tc>
          <w:tcPr>
            <w:tcW w:w="5098" w:type="dxa"/>
          </w:tcPr>
          <w:p w:rsidR="0089127D" w:rsidRDefault="002C730B">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89127D">
        <w:tc>
          <w:tcPr>
            <w:tcW w:w="2462" w:type="dxa"/>
          </w:tcPr>
          <w:p w:rsidR="0089127D" w:rsidRDefault="002C730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89127D" w:rsidRDefault="002C730B">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Supplier, any Key Subcontra</w:t>
            </w:r>
            <w:r>
              <w:rPr>
                <w:rFonts w:ascii="Arial" w:eastAsia="Arial" w:hAnsi="Arial"/>
                <w:color w:val="000000"/>
                <w:sz w:val="24"/>
                <w:szCs w:val="24"/>
              </w:rPr>
              <w:t>ctor and [</w:t>
            </w:r>
            <w:r>
              <w:rPr>
                <w:rFonts w:ascii="Arial" w:eastAsia="Arial" w:hAnsi="Arial"/>
                <w:color w:val="000000"/>
                <w:sz w:val="24"/>
                <w:szCs w:val="24"/>
                <w:highlight w:val="yellow"/>
              </w:rPr>
              <w:t>the Guarantor</w:t>
            </w:r>
            <w:r>
              <w:rPr>
                <w:rFonts w:ascii="Arial" w:eastAsia="Arial" w:hAnsi="Arial"/>
                <w:color w:val="000000"/>
                <w:sz w:val="24"/>
                <w:szCs w:val="24"/>
              </w:rPr>
              <w:t xml:space="preserve">]; and </w:t>
            </w:r>
          </w:p>
        </w:tc>
      </w:tr>
      <w:tr w:rsidR="0089127D">
        <w:tc>
          <w:tcPr>
            <w:tcW w:w="2462" w:type="dxa"/>
          </w:tcPr>
          <w:p w:rsidR="0089127D" w:rsidRDefault="002C730B">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89127D" w:rsidRDefault="002C730B">
            <w:pPr>
              <w:pBdr>
                <w:top w:val="nil"/>
                <w:left w:val="nil"/>
                <w:bottom w:val="nil"/>
                <w:right w:val="nil"/>
                <w:between w:val="nil"/>
              </w:pBdr>
              <w:tabs>
                <w:tab w:val="left" w:pos="0"/>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89127D" w:rsidRDefault="002C730B">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30j0zll" w:colFirst="0" w:colLast="0"/>
      <w:bookmarkEnd w:id="1"/>
      <w:r>
        <w:rPr>
          <w:rFonts w:ascii="Arial Bold" w:eastAsia="Arial Bold" w:hAnsi="Arial Bold" w:cs="Arial Bold"/>
          <w:b/>
          <w:color w:val="000000"/>
          <w:sz w:val="24"/>
          <w:szCs w:val="24"/>
        </w:rPr>
        <w:t>When this Schedule applies</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89127D" w:rsidRDefault="002C730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warrants and represents to CCS that as at the Start Date the </w:t>
      </w:r>
      <w:proofErr w:type="gramStart"/>
      <w:r>
        <w:rPr>
          <w:rFonts w:ascii="Arial" w:eastAsia="Arial" w:hAnsi="Arial"/>
          <w:color w:val="000000"/>
          <w:sz w:val="24"/>
          <w:szCs w:val="24"/>
        </w:rPr>
        <w:t>long term</w:t>
      </w:r>
      <w:proofErr w:type="gramEnd"/>
      <w:r>
        <w:rPr>
          <w:rFonts w:ascii="Arial" w:eastAsia="Arial" w:hAnsi="Arial"/>
          <w:color w:val="000000"/>
          <w:sz w:val="24"/>
          <w:szCs w:val="24"/>
        </w:rPr>
        <w:t xml:space="preserve"> credit ratings issued for the Monitored Companies by each of the Rating Agencies are as set out in Annex 2. </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w:t>
      </w:r>
      <w:r>
        <w:rPr>
          <w:rFonts w:ascii="Arial" w:eastAsia="Arial" w:hAnsi="Arial"/>
          <w:color w:val="000000"/>
          <w:sz w:val="24"/>
          <w:szCs w:val="24"/>
        </w:rPr>
        <w:t xml:space="preserve"> rating issued by any Rating Agency for a Monitored Company.</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Working Days of the end of each Contract Year and within 10 Worki</w:t>
      </w:r>
      <w:r>
        <w:rPr>
          <w:rFonts w:ascii="Arial" w:eastAsia="Arial" w:hAnsi="Arial"/>
          <w:color w:val="000000"/>
          <w:sz w:val="24"/>
          <w:szCs w:val="24"/>
        </w:rPr>
        <w:t xml:space="preserve">ng Days of written request by CCS (such requests not to exceed 4 in any Contract Year) with written calculations of the quick ratio for the Monitored Company as at the end of each Contract Year or </w:t>
      </w:r>
      <w:r>
        <w:rPr>
          <w:rFonts w:ascii="Arial" w:eastAsia="Arial" w:hAnsi="Arial"/>
          <w:color w:val="000000"/>
          <w:sz w:val="24"/>
          <w:szCs w:val="24"/>
        </w:rPr>
        <w:lastRenderedPageBreak/>
        <w:t>such other date as may be requested by CCS.  For these purp</w:t>
      </w:r>
      <w:r>
        <w:rPr>
          <w:rFonts w:ascii="Arial" w:eastAsia="Arial" w:hAnsi="Arial"/>
          <w:color w:val="000000"/>
          <w:sz w:val="24"/>
          <w:szCs w:val="24"/>
        </w:rPr>
        <w:t>oses the "quick ratio" on any date means:</w:t>
      </w:r>
    </w:p>
    <w:p w:rsidR="0089127D" w:rsidRDefault="002C730B">
      <w:pPr>
        <w:ind w:firstLine="1134"/>
        <w:rPr>
          <w:rFonts w:ascii="Arial" w:eastAsia="Arial" w:hAnsi="Arial"/>
          <w:sz w:val="24"/>
          <w:szCs w:val="24"/>
        </w:rPr>
      </w:pPr>
      <w:r>
        <w:rPr>
          <w:rFonts w:ascii="Arial" w:eastAsia="Arial" w:hAnsi="Arial"/>
          <w:noProof/>
          <w:sz w:val="24"/>
          <w:szCs w:val="24"/>
        </w:rPr>
        <w:drawing>
          <wp:inline distT="0" distB="0" distL="0" distR="0">
            <wp:extent cx="609600" cy="163195"/>
            <wp:effectExtent l="0" t="0" r="0" b="0"/>
            <wp:docPr id="6"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89127D" w:rsidRDefault="002C730B">
      <w:pPr>
        <w:pBdr>
          <w:top w:val="nil"/>
          <w:left w:val="nil"/>
          <w:bottom w:val="nil"/>
          <w:right w:val="nil"/>
          <w:between w:val="nil"/>
        </w:pBdr>
        <w:tabs>
          <w:tab w:val="left" w:pos="3402"/>
        </w:tabs>
        <w:spacing w:after="220"/>
        <w:ind w:left="720"/>
        <w:rPr>
          <w:rFonts w:ascii="Arial" w:eastAsia="Arial" w:hAnsi="Arial"/>
          <w:color w:val="000000"/>
          <w:sz w:val="24"/>
          <w:szCs w:val="24"/>
        </w:rPr>
      </w:pPr>
      <w:r>
        <w:rPr>
          <w:rFonts w:ascii="Arial" w:eastAsia="Arial" w:hAnsi="Arial"/>
          <w:color w:val="000000"/>
          <w:sz w:val="24"/>
          <w:szCs w:val="24"/>
        </w:rPr>
        <w:t>where:</w:t>
      </w:r>
    </w:p>
    <w:tbl>
      <w:tblPr>
        <w:tblStyle w:val="a3"/>
        <w:tblW w:w="83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24"/>
        <w:gridCol w:w="6793"/>
      </w:tblGrid>
      <w:tr w:rsidR="0089127D">
        <w:tc>
          <w:tcPr>
            <w:tcW w:w="1524"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A</w:t>
            </w:r>
          </w:p>
        </w:tc>
        <w:tc>
          <w:tcPr>
            <w:tcW w:w="6793" w:type="dxa"/>
          </w:tcPr>
          <w:p w:rsidR="0089127D" w:rsidRDefault="002C730B">
            <w:pPr>
              <w:pBdr>
                <w:top w:val="nil"/>
                <w:left w:val="nil"/>
                <w:bottom w:val="nil"/>
                <w:right w:val="nil"/>
                <w:between w:val="nil"/>
              </w:pBdr>
              <w:tabs>
                <w:tab w:val="left" w:pos="3402"/>
              </w:tabs>
              <w:spacing w:after="220"/>
              <w:ind w:left="1134"/>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89127D">
        <w:tc>
          <w:tcPr>
            <w:tcW w:w="1524"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B</w:t>
            </w:r>
          </w:p>
        </w:tc>
        <w:tc>
          <w:tcPr>
            <w:tcW w:w="6793"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89127D">
        <w:tc>
          <w:tcPr>
            <w:tcW w:w="1524"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C</w:t>
            </w:r>
          </w:p>
        </w:tc>
        <w:tc>
          <w:tcPr>
            <w:tcW w:w="6793"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89127D">
        <w:tc>
          <w:tcPr>
            <w:tcW w:w="1524"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D</w:t>
            </w:r>
          </w:p>
        </w:tc>
        <w:tc>
          <w:tcPr>
            <w:tcW w:w="6793" w:type="dxa"/>
          </w:tcPr>
          <w:p w:rsidR="0089127D" w:rsidRDefault="002C730B">
            <w:pPr>
              <w:pBdr>
                <w:top w:val="nil"/>
                <w:left w:val="nil"/>
                <w:bottom w:val="nil"/>
                <w:right w:val="nil"/>
                <w:between w:val="nil"/>
              </w:pBdr>
              <w:tabs>
                <w:tab w:val="left" w:pos="3402"/>
              </w:tabs>
              <w:spacing w:after="220"/>
              <w:ind w:left="1134"/>
              <w:rPr>
                <w:rFonts w:ascii="Arial" w:eastAsia="Arial" w:hAnsi="Arial"/>
                <w:color w:val="000000"/>
                <w:sz w:val="24"/>
                <w:szCs w:val="24"/>
              </w:rPr>
            </w:pPr>
            <w:r>
              <w:rPr>
                <w:rFonts w:ascii="Arial" w:eastAsia="Arial" w:hAnsi="Arial"/>
                <w:color w:val="000000"/>
                <w:sz w:val="24"/>
                <w:szCs w:val="24"/>
              </w:rPr>
              <w:t xml:space="preserve">is the value at the relevant date of the current liabilities of the Monitored </w:t>
            </w:r>
            <w:proofErr w:type="gramStart"/>
            <w:r>
              <w:rPr>
                <w:rFonts w:ascii="Arial" w:eastAsia="Arial" w:hAnsi="Arial"/>
                <w:color w:val="000000"/>
                <w:sz w:val="24"/>
                <w:szCs w:val="24"/>
              </w:rPr>
              <w:t>Company.</w:t>
            </w:r>
            <w:proofErr w:type="gramEnd"/>
          </w:p>
        </w:tc>
      </w:tr>
    </w:tbl>
    <w:p w:rsidR="0089127D" w:rsidRDefault="002C730B">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 xml:space="preserve">The Supplier shall: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CCS in writing following the occurrence of a Financial Distress Event or any fact, circumstance or matter which could cause a Financial Distress Event </w:t>
      </w:r>
      <w:proofErr w:type="gramStart"/>
      <w:r>
        <w:rPr>
          <w:rFonts w:ascii="Arial" w:eastAsia="Arial" w:hAnsi="Arial"/>
          <w:color w:val="000000"/>
          <w:sz w:val="24"/>
          <w:szCs w:val="24"/>
        </w:rPr>
        <w:t>and in any event</w:t>
      </w:r>
      <w:proofErr w:type="gramEnd"/>
      <w:r>
        <w:rPr>
          <w:rFonts w:ascii="Arial" w:eastAsia="Arial" w:hAnsi="Arial"/>
          <w:color w:val="000000"/>
          <w:sz w:val="24"/>
          <w:szCs w:val="24"/>
        </w:rPr>
        <w: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89127D" w:rsidRDefault="002C730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w:t>
      </w:r>
      <w:r>
        <w:rPr>
          <w:rFonts w:ascii="Arial" w:eastAsia="Arial" w:hAnsi="Arial"/>
          <w:color w:val="000000"/>
          <w:sz w:val="24"/>
          <w:szCs w:val="24"/>
        </w:rPr>
        <w:t>nd brings the event to the attention of the Supplier), the Supplier shall have the obligations and CCS shall have the rights and remedies as set out in Paragraphs 4.3 to 4.6.</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In the event that a Financial Distress Event arises due to a Key Subcontractor no</w:t>
      </w:r>
      <w:r>
        <w:rPr>
          <w:rFonts w:ascii="Arial" w:eastAsia="Arial" w:hAnsi="Arial"/>
          <w:color w:val="000000"/>
          <w:sz w:val="24"/>
          <w:szCs w:val="24"/>
        </w:rPr>
        <w:t xml:space="preserve">tifying CCS that the Supplier has not satisfied any sums properly due under a specified invoice and not subject to a genuine dispute then, CCS shall not </w:t>
      </w:r>
      <w:r>
        <w:rPr>
          <w:rFonts w:ascii="Arial" w:eastAsia="Arial" w:hAnsi="Arial"/>
          <w:color w:val="000000"/>
          <w:sz w:val="24"/>
          <w:szCs w:val="24"/>
        </w:rPr>
        <w:lastRenderedPageBreak/>
        <w:t>exercise any of its rights or remedies under Paragraph 4.3 without first giving the Supplier ten (10) W</w:t>
      </w:r>
      <w:r>
        <w:rPr>
          <w:rFonts w:ascii="Arial" w:eastAsia="Arial" w:hAnsi="Arial"/>
          <w:color w:val="000000"/>
          <w:sz w:val="24"/>
          <w:szCs w:val="24"/>
        </w:rPr>
        <w:t>orking Days to:</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89127D" w:rsidRDefault="002C730B">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6" w:name="_heading=h.1t3h5sf" w:colFirst="0" w:colLast="0"/>
      <w:bookmarkEnd w:id="6"/>
      <w:r>
        <w:rPr>
          <w:rFonts w:ascii="Arial" w:eastAsia="Arial" w:hAnsi="Arial"/>
          <w:color w:val="000000"/>
          <w:sz w:val="24"/>
          <w:szCs w:val="24"/>
        </w:rPr>
        <w:t>The Supplier shall and shall procure that the other Monitored Companies shall:</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7" w:name="_heading=h.4d34og8" w:colFirst="0" w:colLast="0"/>
      <w:bookmarkEnd w:id="7"/>
      <w:r>
        <w:rPr>
          <w:rFonts w:ascii="Arial" w:eastAsia="Arial" w:hAnsi="Arial"/>
          <w:color w:val="000000"/>
          <w:sz w:val="24"/>
          <w:szCs w:val="24"/>
        </w:rPr>
        <w:t>at the request of CCS meet CCS as soon as reasonably practicable (and in any event within three (3) Working Days of the initial notification (or awareness) of the Financial Distress Event) to review the effect of the Financial Distress Event on the continu</w:t>
      </w:r>
      <w:r>
        <w:rPr>
          <w:rFonts w:ascii="Arial" w:eastAsia="Arial" w:hAnsi="Arial"/>
          <w:color w:val="000000"/>
          <w:sz w:val="24"/>
          <w:szCs w:val="24"/>
        </w:rPr>
        <w:t>ed performance of each Contract and delivery of the Deliverables in accordance each Call-Off Contract; and</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8" w:name="_heading=h.2s8eyo1" w:colFirst="0" w:colLast="0"/>
      <w:bookmarkEnd w:id="8"/>
      <w:r>
        <w:rPr>
          <w:rFonts w:ascii="Arial" w:eastAsia="Arial" w:hAnsi="Arial"/>
          <w:color w:val="000000"/>
          <w:sz w:val="24"/>
          <w:szCs w:val="24"/>
        </w:rPr>
        <w:t>where CCS reasonably believes (</w:t>
      </w:r>
      <w:proofErr w:type="gramStart"/>
      <w:r>
        <w:rPr>
          <w:rFonts w:ascii="Arial" w:eastAsia="Arial" w:hAnsi="Arial"/>
          <w:color w:val="000000"/>
          <w:sz w:val="24"/>
          <w:szCs w:val="24"/>
        </w:rPr>
        <w:t>taking into account</w:t>
      </w:r>
      <w:proofErr w:type="gramEnd"/>
      <w:r>
        <w:rPr>
          <w:rFonts w:ascii="Arial" w:eastAsia="Arial" w:hAnsi="Arial"/>
          <w:color w:val="000000"/>
          <w:sz w:val="24"/>
          <w:szCs w:val="24"/>
        </w:rPr>
        <w:t xml:space="preserve"> the discussions and any representations made under Paragraph 4.3.1) that the Financial Distress Ev</w:t>
      </w:r>
      <w:r>
        <w:rPr>
          <w:rFonts w:ascii="Arial" w:eastAsia="Arial" w:hAnsi="Arial"/>
          <w:color w:val="000000"/>
          <w:sz w:val="24"/>
          <w:szCs w:val="24"/>
        </w:rPr>
        <w:t xml:space="preserve">ent could impact on the continued performance of each Contract and delivery of the Deliverables in accordance with each Call-Off Contract: </w:t>
      </w:r>
    </w:p>
    <w:p w:rsidR="0089127D" w:rsidRDefault="002C730B">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submit to CCS for its Approval, a draft Financial Distress Service Continuity Plan as soon as reasonably practicable</w:t>
      </w:r>
      <w:r>
        <w:rPr>
          <w:rFonts w:ascii="Arial" w:eastAsia="Arial" w:hAnsi="Arial"/>
          <w:color w:val="000000"/>
          <w:sz w:val="24"/>
          <w:szCs w:val="24"/>
        </w:rPr>
        <w:t xml:space="preserve"> (and in any event, within ten (10) Working Days of the initial notification (or awareness) of the Financial Distress Event); and</w:t>
      </w:r>
    </w:p>
    <w:p w:rsidR="0089127D" w:rsidRDefault="002C730B">
      <w:pPr>
        <w:numPr>
          <w:ilvl w:val="3"/>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9" w:name="_heading=h.17dp8vu" w:colFirst="0" w:colLast="0"/>
      <w:bookmarkEnd w:id="9"/>
      <w:r>
        <w:rPr>
          <w:rFonts w:ascii="Arial" w:eastAsia="Arial" w:hAnsi="Arial"/>
          <w:color w:val="000000"/>
          <w:sz w:val="24"/>
          <w:szCs w:val="24"/>
        </w:rPr>
        <w:t>provide such financial information relating to the Monitored Company as CCS may reasonably require.</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0" w:name="_heading=h.3rdcrjn" w:colFirst="0" w:colLast="0"/>
      <w:bookmarkEnd w:id="10"/>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1" w:name="_heading=h.26in1rg" w:colFirst="0" w:colLast="0"/>
      <w:bookmarkEnd w:id="11"/>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89127D" w:rsidRDefault="002C730B">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2" w:name="_heading=h.lnxbz9" w:colFirst="0" w:colLast="0"/>
      <w:bookmarkEnd w:id="12"/>
      <w:r>
        <w:rPr>
          <w:rFonts w:ascii="Arial" w:eastAsia="Arial" w:hAnsi="Arial"/>
          <w:color w:val="000000"/>
          <w:sz w:val="24"/>
          <w:szCs w:val="24"/>
        </w:rPr>
        <w:t>Following Approval of the Financial Distress Service Continuity Plan by CCS, the Supplier shall:</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3" w:name="_heading=h.35nkun2" w:colFirst="0" w:colLast="0"/>
      <w:bookmarkEnd w:id="13"/>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 xml:space="preserve">quate and up to date to ensure </w:t>
      </w:r>
      <w:r>
        <w:rPr>
          <w:rFonts w:ascii="Arial" w:eastAsia="Arial" w:hAnsi="Arial"/>
          <w:color w:val="000000"/>
          <w:sz w:val="24"/>
          <w:szCs w:val="24"/>
        </w:rPr>
        <w:lastRenderedPageBreak/>
        <w:t>the continued performance each Contract and delivery of the Deliverables in accordance with each Call-Off Contract;</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4" w:name="_heading=h.1ksv4uv" w:colFirst="0" w:colLast="0"/>
      <w:bookmarkEnd w:id="14"/>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bookmarkStart w:id="15" w:name="_heading=h.44sinio" w:colFirst="0" w:colLast="0"/>
      <w:bookmarkEnd w:id="15"/>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6" w:name="_heading=h.2jxsxqh" w:colFirst="0" w:colLast="0"/>
      <w:bookmarkEnd w:id="16"/>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 </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w:t>
      </w:r>
      <w:r>
        <w:rPr>
          <w:rFonts w:ascii="Arial" w:eastAsia="Arial" w:hAnsi="Arial"/>
          <w:color w:val="000000"/>
          <w:sz w:val="24"/>
          <w:szCs w:val="24"/>
        </w:rPr>
        <w:t>ce with this Paragraph with any Buyer who has entered into a Call-Off Contract with the Supplier.</w:t>
      </w:r>
    </w:p>
    <w:p w:rsidR="0089127D" w:rsidRDefault="002C730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89127D" w:rsidRDefault="002C730B">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bookmarkStart w:id="17" w:name="_heading=h.z337ya" w:colFirst="0" w:colLast="0"/>
      <w:bookmarkEnd w:id="17"/>
      <w:r>
        <w:rPr>
          <w:rFonts w:ascii="Arial" w:eastAsia="Arial" w:hAnsi="Arial"/>
          <w:color w:val="000000"/>
          <w:sz w:val="24"/>
          <w:szCs w:val="24"/>
        </w:rPr>
        <w:t xml:space="preserve">CCS shall be entitled to terminate this Contract and Buyers shall be entitled to terminate their Call-Off Contracts for material Default if: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and the Supp</w:t>
      </w:r>
      <w:r>
        <w:rPr>
          <w:rFonts w:ascii="Arial" w:eastAsia="Arial" w:hAnsi="Arial"/>
          <w:color w:val="000000"/>
          <w:sz w:val="24"/>
          <w:szCs w:val="24"/>
        </w:rPr>
        <w:t>lier fail to agree a Financial Distress Service Continuity Plan (or any updated Financial Distress Service Continuity Plan) in accordance with Paragraphs 4.3 to 4.5; and/or</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w:t>
      </w:r>
      <w:r>
        <w:rPr>
          <w:rFonts w:ascii="Arial" w:eastAsia="Arial" w:hAnsi="Arial"/>
          <w:color w:val="000000"/>
          <w:sz w:val="24"/>
          <w:szCs w:val="24"/>
        </w:rPr>
        <w:t>nuity Plan (or any updated Financial Distress Service Continuity Plan) in accordance with Paragraph 4.6.3.</w:t>
      </w:r>
    </w:p>
    <w:p w:rsidR="0089127D" w:rsidRDefault="002C730B">
      <w:pPr>
        <w:keepNext/>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w:t>
      </w:r>
      <w:r>
        <w:rPr>
          <w:rFonts w:ascii="Arial" w:eastAsia="Arial" w:hAnsi="Arial"/>
          <w:color w:val="000000"/>
          <w:sz w:val="24"/>
          <w:szCs w:val="24"/>
        </w:rPr>
        <w:t>erminated under Clause 10.4.1.</w:t>
      </w:r>
    </w:p>
    <w:p w:rsidR="0089127D" w:rsidRDefault="002C730B">
      <w:pPr>
        <w:keepNext/>
        <w:numPr>
          <w:ilvl w:val="0"/>
          <w:numId w:val="2"/>
        </w:numPr>
        <w:pBdr>
          <w:top w:val="nil"/>
          <w:left w:val="nil"/>
          <w:bottom w:val="nil"/>
          <w:right w:val="nil"/>
          <w:between w:val="nil"/>
        </w:pBdr>
        <w:tabs>
          <w:tab w:val="left" w:pos="142"/>
        </w:tabs>
        <w:spacing w:before="120"/>
        <w:rPr>
          <w:rFonts w:ascii="Arial" w:eastAsia="Arial" w:hAnsi="Arial"/>
          <w:b/>
          <w:smallCaps/>
          <w:color w:val="000000"/>
          <w:sz w:val="24"/>
          <w:szCs w:val="24"/>
        </w:rPr>
      </w:pPr>
      <w:bookmarkStart w:id="18" w:name="_heading=h.3j2qqm3" w:colFirst="0" w:colLast="0"/>
      <w:bookmarkEnd w:id="18"/>
      <w:r>
        <w:rPr>
          <w:rFonts w:ascii="Arial Bold" w:eastAsia="Arial Bold" w:hAnsi="Arial Bold" w:cs="Arial Bold"/>
          <w:b/>
          <w:color w:val="000000"/>
          <w:sz w:val="24"/>
          <w:szCs w:val="24"/>
        </w:rPr>
        <w:t>What happens If your credit rating is still good</w:t>
      </w:r>
    </w:p>
    <w:p w:rsidR="0089127D" w:rsidRDefault="002C730B">
      <w:pPr>
        <w:numPr>
          <w:ilvl w:val="1"/>
          <w:numId w:val="2"/>
        </w:numPr>
        <w:pBdr>
          <w:top w:val="nil"/>
          <w:left w:val="nil"/>
          <w:bottom w:val="nil"/>
          <w:right w:val="nil"/>
          <w:between w:val="nil"/>
        </w:pBdr>
        <w:tabs>
          <w:tab w:val="left" w:pos="1134"/>
        </w:tabs>
        <w:spacing w:before="120" w:after="120"/>
        <w:ind w:hanging="360"/>
        <w:rPr>
          <w:rFonts w:ascii="Arial" w:eastAsia="Arial" w:hAnsi="Arial"/>
          <w:color w:val="000000"/>
          <w:sz w:val="24"/>
          <w:szCs w:val="24"/>
        </w:rPr>
      </w:pPr>
      <w:r>
        <w:rPr>
          <w:rFonts w:ascii="Arial" w:eastAsia="Arial" w:hAnsi="Arial"/>
          <w:color w:val="000000"/>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w:t>
      </w:r>
      <w:r>
        <w:rPr>
          <w:rFonts w:ascii="Arial" w:eastAsia="Arial" w:hAnsi="Arial"/>
          <w:color w:val="000000"/>
          <w:sz w:val="24"/>
          <w:szCs w:val="24"/>
        </w:rPr>
        <w:t>op below the relevant Credit Rating Threshold, then:</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89127D" w:rsidRDefault="002C730B">
      <w:pPr>
        <w:numPr>
          <w:ilvl w:val="2"/>
          <w:numId w:val="2"/>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CCS shall not be entitled to require the Supplier to provide financial information in accordance with Para</w:t>
      </w:r>
      <w:r>
        <w:rPr>
          <w:rFonts w:ascii="Arial" w:eastAsia="Arial" w:hAnsi="Arial"/>
          <w:color w:val="000000"/>
          <w:sz w:val="24"/>
          <w:szCs w:val="24"/>
        </w:rPr>
        <w:t xml:space="preserve">graph 4.3.2(b). </w:t>
      </w:r>
    </w:p>
    <w:p w:rsidR="0089127D" w:rsidRDefault="0089127D">
      <w:pPr>
        <w:pBdr>
          <w:top w:val="nil"/>
          <w:left w:val="nil"/>
          <w:bottom w:val="nil"/>
          <w:right w:val="nil"/>
          <w:between w:val="nil"/>
        </w:pBdr>
        <w:spacing w:after="0"/>
        <w:jc w:val="left"/>
        <w:rPr>
          <w:rFonts w:ascii="Arial" w:eastAsia="Arial" w:hAnsi="Arial"/>
          <w:color w:val="FFFFFF"/>
          <w:sz w:val="24"/>
          <w:szCs w:val="24"/>
        </w:rPr>
      </w:pPr>
    </w:p>
    <w:p w:rsidR="0089127D" w:rsidRDefault="002C730B">
      <w:pPr>
        <w:keepNext/>
        <w:pBdr>
          <w:top w:val="nil"/>
          <w:left w:val="nil"/>
          <w:bottom w:val="nil"/>
          <w:right w:val="nil"/>
          <w:between w:val="nil"/>
        </w:pBdr>
        <w:ind w:firstLine="426"/>
        <w:jc w:val="left"/>
        <w:rPr>
          <w:rFonts w:ascii="Arial" w:eastAsia="Arial" w:hAnsi="Arial"/>
          <w:b/>
          <w:smallCaps/>
          <w:color w:val="000000"/>
          <w:sz w:val="36"/>
          <w:szCs w:val="36"/>
        </w:rPr>
      </w:pPr>
      <w:bookmarkStart w:id="19" w:name="_heading=h.4i7ojhp" w:colFirst="0" w:colLast="0"/>
      <w:bookmarkEnd w:id="19"/>
      <w:r>
        <w:rPr>
          <w:rFonts w:ascii="Arial" w:eastAsia="Arial" w:hAnsi="Arial"/>
          <w:b/>
          <w:smallCaps/>
          <w:color w:val="000000"/>
          <w:sz w:val="36"/>
          <w:szCs w:val="36"/>
        </w:rPr>
        <w:t>ANNEX 1: RATING AGENCIES</w:t>
      </w:r>
    </w:p>
    <w:p w:rsidR="0089127D" w:rsidRDefault="002C730B">
      <w:pPr>
        <w:keepNext/>
        <w:pBdr>
          <w:top w:val="nil"/>
          <w:left w:val="nil"/>
          <w:bottom w:val="nil"/>
          <w:right w:val="nil"/>
          <w:between w:val="nil"/>
        </w:pBdr>
        <w:ind w:firstLine="426"/>
        <w:jc w:val="left"/>
        <w:rPr>
          <w:rFonts w:ascii="Arial" w:eastAsia="Arial" w:hAnsi="Arial"/>
          <w:b/>
          <w:smallCaps/>
          <w:color w:val="000000"/>
          <w:sz w:val="24"/>
          <w:szCs w:val="24"/>
        </w:rPr>
      </w:pPr>
      <w:bookmarkStart w:id="20" w:name="_heading=h.2xcytpi" w:colFirst="0" w:colLast="0"/>
      <w:bookmarkEnd w:id="20"/>
      <w:r>
        <w:rPr>
          <w:rFonts w:ascii="Arial" w:eastAsia="Arial" w:hAnsi="Arial"/>
          <w:sz w:val="24"/>
          <w:szCs w:val="24"/>
        </w:rPr>
        <w:t>Dun and Bradstreet</w:t>
      </w:r>
      <w:r>
        <w:br w:type="page"/>
      </w:r>
      <w:r>
        <w:rPr>
          <w:rFonts w:ascii="Arial" w:eastAsia="Arial" w:hAnsi="Arial"/>
          <w:b/>
          <w:smallCaps/>
          <w:color w:val="000000"/>
          <w:sz w:val="36"/>
          <w:szCs w:val="36"/>
        </w:rPr>
        <w:lastRenderedPageBreak/>
        <w:t>ANNEX 2: CREDIT RATINGS &amp; CREDIT RATING THRESHOLDS</w:t>
      </w:r>
    </w:p>
    <w:p w:rsidR="0089127D" w:rsidRDefault="002C730B">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 xml:space="preserve">Current Rating and Credit Rating Thresholds </w:t>
      </w:r>
    </w:p>
    <w:tbl>
      <w:tblPr>
        <w:tblStyle w:val="a4"/>
        <w:tblW w:w="9634"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gridCol w:w="3473"/>
      </w:tblGrid>
      <w:tr w:rsidR="0089127D">
        <w:tc>
          <w:tcPr>
            <w:tcW w:w="3080" w:type="dxa"/>
            <w:tcBorders>
              <w:top w:val="single" w:sz="4" w:space="0" w:color="000000"/>
            </w:tcBorders>
            <w:shd w:val="clear" w:color="auto" w:fill="FFFFFF"/>
          </w:tcPr>
          <w:p w:rsidR="0089127D" w:rsidRDefault="002C730B">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89127D" w:rsidRDefault="002C730B">
            <w:pPr>
              <w:keepNext/>
              <w:pBdr>
                <w:top w:val="nil"/>
                <w:left w:val="nil"/>
                <w:bottom w:val="nil"/>
                <w:right w:val="nil"/>
                <w:between w:val="nil"/>
              </w:pBdr>
              <w:spacing w:before="240" w:after="120"/>
              <w:ind w:left="142"/>
              <w:jc w:val="left"/>
              <w:rPr>
                <w:rFonts w:ascii="Arial" w:eastAsia="Arial" w:hAnsi="Arial"/>
                <w:b/>
                <w:i/>
                <w:color w:val="000000"/>
                <w:sz w:val="24"/>
                <w:szCs w:val="24"/>
              </w:rPr>
            </w:pPr>
            <w:r>
              <w:rPr>
                <w:rFonts w:ascii="Arial" w:eastAsia="Arial" w:hAnsi="Arial"/>
                <w:b/>
                <w:color w:val="000000"/>
                <w:sz w:val="24"/>
                <w:szCs w:val="24"/>
              </w:rPr>
              <w:t>Credit rating (long term)</w:t>
            </w:r>
          </w:p>
        </w:tc>
        <w:tc>
          <w:tcPr>
            <w:tcW w:w="3473" w:type="dxa"/>
            <w:tcBorders>
              <w:top w:val="single" w:sz="4" w:space="0" w:color="000000"/>
            </w:tcBorders>
            <w:shd w:val="clear" w:color="auto" w:fill="FFFFFF"/>
          </w:tcPr>
          <w:p w:rsidR="0089127D" w:rsidRDefault="002C730B">
            <w:pPr>
              <w:keepNext/>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Threshold</w:t>
            </w:r>
          </w:p>
          <w:p w:rsidR="0089127D" w:rsidRDefault="0089127D">
            <w:pPr>
              <w:keepNext/>
              <w:pBdr>
                <w:top w:val="nil"/>
                <w:left w:val="nil"/>
                <w:bottom w:val="nil"/>
                <w:right w:val="nil"/>
                <w:between w:val="nil"/>
              </w:pBdr>
              <w:spacing w:before="240" w:after="120"/>
              <w:ind w:left="142"/>
              <w:jc w:val="left"/>
              <w:rPr>
                <w:rFonts w:ascii="Arial" w:eastAsia="Arial" w:hAnsi="Arial"/>
                <w:b/>
                <w:color w:val="000000"/>
                <w:sz w:val="24"/>
                <w:szCs w:val="24"/>
              </w:rPr>
            </w:pPr>
          </w:p>
        </w:tc>
      </w:tr>
      <w:tr w:rsidR="0089127D">
        <w:tc>
          <w:tcPr>
            <w:tcW w:w="3080" w:type="dxa"/>
            <w:shd w:val="clear" w:color="auto" w:fill="FFFFFF"/>
          </w:tcPr>
          <w:p w:rsidR="0089127D" w:rsidRDefault="002C730B">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w:t>
            </w:r>
            <w:r>
              <w:rPr>
                <w:rFonts w:ascii="Arial" w:eastAsia="Arial" w:hAnsi="Arial"/>
                <w:color w:val="000000"/>
                <w:sz w:val="24"/>
                <w:szCs w:val="24"/>
              </w:rPr>
              <w:t>u</w:t>
            </w:r>
            <w:r>
              <w:rPr>
                <w:rFonts w:ascii="Arial" w:eastAsia="Arial" w:hAnsi="Arial"/>
                <w:color w:val="000000"/>
                <w:sz w:val="24"/>
                <w:szCs w:val="24"/>
              </w:rPr>
              <w:t>p</w:t>
            </w:r>
            <w:r>
              <w:rPr>
                <w:rFonts w:ascii="Arial" w:eastAsia="Arial" w:hAnsi="Arial"/>
                <w:color w:val="000000"/>
                <w:sz w:val="24"/>
                <w:szCs w:val="24"/>
              </w:rPr>
              <w:t>p</w:t>
            </w:r>
            <w:r>
              <w:rPr>
                <w:rFonts w:ascii="Arial" w:eastAsia="Arial" w:hAnsi="Arial"/>
                <w:color w:val="000000"/>
                <w:sz w:val="24"/>
                <w:szCs w:val="24"/>
              </w:rPr>
              <w:t>l</w:t>
            </w:r>
            <w:r>
              <w:rPr>
                <w:rFonts w:ascii="Arial" w:eastAsia="Arial" w:hAnsi="Arial"/>
                <w:color w:val="000000"/>
                <w:sz w:val="24"/>
                <w:szCs w:val="24"/>
              </w:rPr>
              <w:t>i</w:t>
            </w:r>
            <w:r>
              <w:rPr>
                <w:rFonts w:ascii="Arial" w:eastAsia="Arial" w:hAnsi="Arial"/>
                <w:color w:val="000000"/>
                <w:sz w:val="24"/>
                <w:szCs w:val="24"/>
              </w:rPr>
              <w:t>e</w:t>
            </w:r>
            <w:r>
              <w:rPr>
                <w:rFonts w:ascii="Arial" w:eastAsia="Arial" w:hAnsi="Arial"/>
                <w:color w:val="000000"/>
                <w:sz w:val="24"/>
                <w:szCs w:val="24"/>
              </w:rPr>
              <w:t>r</w:t>
            </w:r>
          </w:p>
        </w:tc>
        <w:tc>
          <w:tcPr>
            <w:tcW w:w="3081" w:type="dxa"/>
            <w:shd w:val="clear" w:color="auto" w:fill="FFFFFF"/>
          </w:tcPr>
          <w:p w:rsidR="0089127D" w:rsidRPr="007D23CF" w:rsidRDefault="007D23CF">
            <w:pPr>
              <w:keepNext/>
              <w:pBdr>
                <w:top w:val="nil"/>
                <w:left w:val="nil"/>
                <w:bottom w:val="nil"/>
                <w:right w:val="nil"/>
                <w:between w:val="nil"/>
              </w:pBdr>
              <w:spacing w:before="240" w:after="120"/>
              <w:ind w:left="142"/>
              <w:jc w:val="left"/>
              <w:rPr>
                <w:rFonts w:ascii="Arial" w:eastAsia="Arial" w:hAnsi="Arial"/>
                <w:sz w:val="24"/>
                <w:szCs w:val="24"/>
              </w:rPr>
            </w:pPr>
            <w:r w:rsidRPr="007D23CF">
              <w:rPr>
                <w:rFonts w:ascii="Arial" w:eastAsia="Arial" w:hAnsi="Arial"/>
                <w:sz w:val="24"/>
                <w:szCs w:val="24"/>
              </w:rPr>
              <w:t>[REDACTED]</w:t>
            </w:r>
          </w:p>
        </w:tc>
        <w:tc>
          <w:tcPr>
            <w:tcW w:w="3473" w:type="dxa"/>
            <w:shd w:val="clear" w:color="auto" w:fill="FFFFFF"/>
          </w:tcPr>
          <w:p w:rsidR="0089127D" w:rsidRPr="007D23CF" w:rsidRDefault="007D23CF">
            <w:pPr>
              <w:keepNext/>
              <w:pBdr>
                <w:top w:val="nil"/>
                <w:left w:val="nil"/>
                <w:bottom w:val="nil"/>
                <w:right w:val="nil"/>
                <w:between w:val="nil"/>
              </w:pBdr>
              <w:spacing w:before="240" w:after="120"/>
              <w:ind w:left="142"/>
              <w:jc w:val="left"/>
              <w:rPr>
                <w:rFonts w:ascii="Arial" w:eastAsia="Arial" w:hAnsi="Arial"/>
                <w:sz w:val="24"/>
                <w:szCs w:val="24"/>
              </w:rPr>
            </w:pPr>
            <w:r w:rsidRPr="007D23CF">
              <w:rPr>
                <w:rFonts w:ascii="Arial" w:eastAsia="Arial" w:hAnsi="Arial"/>
                <w:sz w:val="24"/>
                <w:szCs w:val="24"/>
              </w:rPr>
              <w:t>[REDACTED]</w:t>
            </w:r>
            <w:r w:rsidR="002C730B" w:rsidRPr="007D23CF">
              <w:rPr>
                <w:rFonts w:ascii="Arial" w:eastAsia="Arial" w:hAnsi="Arial"/>
                <w:sz w:val="24"/>
                <w:szCs w:val="24"/>
              </w:rPr>
              <w:t xml:space="preserve"> </w:t>
            </w:r>
          </w:p>
        </w:tc>
      </w:tr>
    </w:tbl>
    <w:p w:rsidR="0089127D" w:rsidRDefault="0089127D">
      <w:pPr>
        <w:spacing w:after="0"/>
        <w:rPr>
          <w:rFonts w:ascii="Arial" w:eastAsia="Arial" w:hAnsi="Arial"/>
          <w:sz w:val="24"/>
          <w:szCs w:val="24"/>
        </w:rPr>
      </w:pPr>
      <w:bookmarkStart w:id="21" w:name="_heading=h.3dy6vkm" w:colFirst="0" w:colLast="0"/>
      <w:bookmarkStart w:id="22" w:name="_GoBack"/>
      <w:bookmarkEnd w:id="21"/>
      <w:bookmarkEnd w:id="22"/>
    </w:p>
    <w:sectPr w:rsidR="0089127D">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730B" w:rsidRDefault="002C730B">
      <w:pPr>
        <w:spacing w:after="0"/>
      </w:pPr>
      <w:r>
        <w:separator/>
      </w:r>
    </w:p>
  </w:endnote>
  <w:endnote w:type="continuationSeparator" w:id="0">
    <w:p w:rsidR="002C730B" w:rsidRDefault="002C73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27D" w:rsidRDefault="002C730B">
    <w:pPr>
      <w:tabs>
        <w:tab w:val="center" w:pos="4513"/>
        <w:tab w:val="right" w:pos="9026"/>
      </w:tabs>
      <w:spacing w:after="0"/>
      <w:rPr>
        <w:rFonts w:ascii="Arial" w:eastAsia="Arial" w:hAnsi="Arial"/>
        <w:sz w:val="20"/>
        <w:szCs w:val="20"/>
      </w:rPr>
    </w:pPr>
    <w:r>
      <w:rPr>
        <w:rFonts w:ascii="Arial" w:eastAsia="Arial" w:hAnsi="Arial"/>
        <w:sz w:val="20"/>
        <w:szCs w:val="20"/>
      </w:rPr>
      <w:t>Framework Ref: RM6217</w:t>
    </w:r>
    <w:r>
      <w:rPr>
        <w:rFonts w:ascii="Arial" w:eastAsia="Arial" w:hAnsi="Arial"/>
        <w:sz w:val="20"/>
        <w:szCs w:val="20"/>
      </w:rPr>
      <w:tab/>
      <w:t xml:space="preserve">                                           </w:t>
    </w:r>
  </w:p>
  <w:p w:rsidR="0089127D" w:rsidRDefault="002C730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D23CF">
      <w:rPr>
        <w:rFonts w:ascii="Arial" w:eastAsia="Arial" w:hAnsi="Arial"/>
        <w:color w:val="000000"/>
        <w:sz w:val="20"/>
        <w:szCs w:val="20"/>
      </w:rPr>
      <w:fldChar w:fldCharType="separate"/>
    </w:r>
    <w:r w:rsidR="007D23CF">
      <w:rPr>
        <w:rFonts w:ascii="Arial" w:eastAsia="Arial" w:hAnsi="Arial"/>
        <w:noProof/>
        <w:color w:val="000000"/>
        <w:sz w:val="20"/>
        <w:szCs w:val="20"/>
      </w:rPr>
      <w:t>1</w:t>
    </w:r>
    <w:r>
      <w:rPr>
        <w:rFonts w:ascii="Arial" w:eastAsia="Arial" w:hAnsi="Arial"/>
        <w:color w:val="000000"/>
        <w:sz w:val="20"/>
        <w:szCs w:val="20"/>
      </w:rPr>
      <w:fldChar w:fldCharType="end"/>
    </w:r>
  </w:p>
  <w:p w:rsidR="0089127D" w:rsidRDefault="002C730B">
    <w:pPr>
      <w:spacing w:after="0"/>
      <w:rPr>
        <w:rFonts w:ascii="Arial" w:eastAsia="Arial" w:hAnsi="Arial"/>
        <w:sz w:val="20"/>
        <w:szCs w:val="20"/>
      </w:rPr>
    </w:pPr>
    <w:r>
      <w:rPr>
        <w:rFonts w:ascii="Arial" w:eastAsia="Arial" w:hAnsi="Arial"/>
        <w:sz w:val="20"/>
        <w:szCs w:val="20"/>
      </w:rPr>
      <w:t>Model Version: v3.4</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27D" w:rsidRDefault="002C730B">
    <w:pPr>
      <w:tabs>
        <w:tab w:val="center" w:pos="4513"/>
        <w:tab w:val="right" w:pos="9026"/>
      </w:tabs>
      <w:spacing w:after="0"/>
      <w:rPr>
        <w:color w:val="BFBFBF"/>
      </w:rPr>
    </w:pPr>
    <w:r>
      <w:rPr>
        <w:color w:val="BFBFBF"/>
      </w:rPr>
      <w:t>Framework Ref: RM</w:t>
    </w:r>
    <w:r>
      <w:rPr>
        <w:color w:val="BFBFBF"/>
      </w:rPr>
      <w:tab/>
      <w:t xml:space="preserve">                                           </w:t>
    </w:r>
  </w:p>
  <w:p w:rsidR="0089127D" w:rsidRDefault="002C730B">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end"/>
    </w:r>
  </w:p>
  <w:p w:rsidR="0089127D" w:rsidRDefault="002C730B">
    <w:pPr>
      <w:spacing w:after="0"/>
      <w:rPr>
        <w:rFonts w:ascii="Arial" w:eastAsia="Arial" w:hAnsi="Arial"/>
        <w:color w:val="BFBFBF"/>
        <w:sz w:val="20"/>
        <w:szCs w:val="20"/>
      </w:rPr>
    </w:pPr>
    <w:r>
      <w:rPr>
        <w:color w:val="BFBFBF"/>
      </w:rPr>
      <w:t xml:space="preserve">Model </w:t>
    </w:r>
    <w:proofErr w:type="gramStart"/>
    <w:r>
      <w:rPr>
        <w:color w:val="BFBFBF"/>
      </w:rPr>
      <w:t>Version :</w:t>
    </w:r>
    <w:proofErr w:type="gramEnd"/>
    <w:r>
      <w:rPr>
        <w:color w:val="BFBFBF"/>
      </w:rPr>
      <w:t xml:space="preserve">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730B" w:rsidRDefault="002C730B">
      <w:pPr>
        <w:spacing w:after="0"/>
      </w:pPr>
      <w:r>
        <w:separator/>
      </w:r>
    </w:p>
  </w:footnote>
  <w:footnote w:type="continuationSeparator" w:id="0">
    <w:p w:rsidR="002C730B" w:rsidRDefault="002C73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127D" w:rsidRDefault="002C730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89127D" w:rsidRDefault="002C730B">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74159"/>
    <w:multiLevelType w:val="multilevel"/>
    <w:tmpl w:val="523C4DB4"/>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B7A1B53"/>
    <w:multiLevelType w:val="multilevel"/>
    <w:tmpl w:val="C7466A56"/>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27D"/>
    <w:rsid w:val="002C730B"/>
    <w:rsid w:val="007D23CF"/>
    <w:rsid w:val="00891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41DD0A"/>
  <w15:docId w15:val="{D010B435-B1DA-46DD-9687-0FD26A23D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paragraph" w:customStyle="1" w:styleId="TableNormal1">
    <w:name w:val="Table Normal1"/>
    <w:basedOn w:val="Normal"/>
    <w:rsid w:val="00050BD6"/>
    <w:pPr>
      <w:overflowPunct/>
      <w:autoSpaceDE/>
      <w:autoSpaceDN/>
      <w:adjustRightInd/>
      <w:spacing w:before="120" w:after="120"/>
      <w:ind w:left="34"/>
      <w:jc w:val="left"/>
      <w:textAlignment w:val="auto"/>
    </w:pPr>
    <w:rPr>
      <w:rFonts w:asciiTheme="minorHAnsi" w:eastAsiaTheme="minorHAnsi" w:hAnsiTheme="minorHAnsi" w:cstheme="minorBidi"/>
      <w:lang w:eastAsia="en-US"/>
    </w:rPr>
  </w:style>
  <w:style w:type="table" w:customStyle="1" w:styleId="a2">
    <w:basedOn w:val="TableNormal"/>
    <w:pPr>
      <w:spacing w:after="0"/>
    </w:pPr>
    <w:rPr>
      <w:sz w:val="20"/>
      <w:szCs w:val="20"/>
    </w:rPr>
    <w:tblPr>
      <w:tblStyleRowBandSize w:val="1"/>
      <w:tblStyleColBandSize w:val="1"/>
      <w:tblCellMar>
        <w:left w:w="115" w:type="dxa"/>
        <w:right w:w="115" w:type="dxa"/>
      </w:tblCellMar>
    </w:tblPr>
  </w:style>
  <w:style w:type="table" w:customStyle="1" w:styleId="a3">
    <w:basedOn w:val="TableNormal"/>
    <w:pPr>
      <w:spacing w:after="0"/>
    </w:pPr>
    <w:rPr>
      <w:sz w:val="20"/>
      <w:szCs w:val="20"/>
    </w:rPr>
    <w:tblPr>
      <w:tblStyleRowBandSize w:val="1"/>
      <w:tblStyleColBandSize w:val="1"/>
      <w:tblCellMar>
        <w:left w:w="115" w:type="dxa"/>
        <w:right w:w="115" w:type="dxa"/>
      </w:tblCellMar>
    </w:tblPr>
  </w:style>
  <w:style w:type="table" w:customStyle="1" w:styleId="a4">
    <w:basedOn w:val="TableNormal"/>
    <w:pPr>
      <w:spacing w:after="0"/>
    </w:pPr>
    <w:rPr>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GvEWhrdhgrz3op4ZZ2+YkZ41vw==">AMUW2mV23Pgi4R0rMREHQQhxB/GKpx5ynSQ//g0fo/aiSurg/m7K+0+u/t8FaED3KZngUKJqfvKZaA/7AQfz9rfmqrw789PpET4WMJRlsxgASDz/U6EnDWB5iIsp/cmMeIf6M6+4OTJyZ2Y2aRpa57Yp472tIO/vkJEugVkdxFoTJ+3rH6J8gYawNpTYqKe8A2L0ZcVBDF3ouhQc+OEeeZymAKzj1mjPalLoNosdUt1asvgqsqkkLa1P4MDPSJ8u0avM2lEPSYE33Fn3aZkdH/eLlGiZYHhfpWyQtjEHCwe1ZJoPzqG7T55n8TUffRLpOIRFLFeglOzsQnzBHqTPeOp6nr0GXSzCHW6VGrQGlbGzvCaXVqxeqilg8eHap3O5nId2uYL/953w/DLzGtjBOROEBuq1TitAsD3vcdu1DK3KVCqH+M1XLr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1667</Words>
  <Characters>9508</Characters>
  <Application>Microsoft Office Word</Application>
  <DocSecurity>0</DocSecurity>
  <Lines>79</Lines>
  <Paragraphs>22</Paragraphs>
  <ScaleCrop>false</ScaleCrop>
  <Company/>
  <LinksUpToDate>false</LinksUpToDate>
  <CharactersWithSpaces>11153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Holly Taylor</cp:lastModifiedBy>
  <cp:revision>2</cp:revision>
  <dcterms:created xsi:type="dcterms:W3CDTF">2021-07-02T15:11:00Z</dcterms:created>
  <dcterms:modified xsi:type="dcterms:W3CDTF">2022-09-09T10:16:00Z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